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43" w:rsidRPr="006F7343" w:rsidRDefault="006F7343" w:rsidP="00FB3C75">
      <w:pPr>
        <w:jc w:val="center"/>
        <w:rPr>
          <w:b/>
        </w:rPr>
      </w:pPr>
      <w:bookmarkStart w:id="0" w:name="_GoBack"/>
      <w:bookmarkEnd w:id="0"/>
      <w:r w:rsidRPr="006F7343">
        <w:rPr>
          <w:b/>
        </w:rPr>
        <w:t>Barrington Public Schools</w:t>
      </w:r>
    </w:p>
    <w:p w:rsidR="006F7343" w:rsidRPr="006F7343" w:rsidRDefault="006F7343" w:rsidP="00FB3C75">
      <w:pPr>
        <w:jc w:val="center"/>
        <w:rPr>
          <w:b/>
        </w:rPr>
      </w:pPr>
      <w:r w:rsidRPr="006F7343">
        <w:rPr>
          <w:b/>
        </w:rPr>
        <w:t>Strategic Plan Draft</w:t>
      </w:r>
    </w:p>
    <w:tbl>
      <w:tblPr>
        <w:tblW w:w="13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19"/>
        <w:gridCol w:w="3558"/>
        <w:gridCol w:w="2060"/>
        <w:gridCol w:w="2054"/>
        <w:gridCol w:w="3049"/>
      </w:tblGrid>
      <w:tr w:rsidR="006F7343" w:rsidRPr="006F7343" w:rsidTr="006F7343">
        <w:trPr>
          <w:trHeight w:val="295"/>
        </w:trPr>
        <w:tc>
          <w:tcPr>
            <w:tcW w:w="2330" w:type="dxa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343" w:rsidRPr="006F7343" w:rsidRDefault="006F7343" w:rsidP="006F7343">
            <w:pPr>
              <w:pStyle w:val="BodyTextSG2017"/>
            </w:pPr>
            <w:r w:rsidRPr="006F7343">
              <w:rPr>
                <w:b/>
                <w:bCs/>
              </w:rPr>
              <w:t>Mission</w:t>
            </w:r>
          </w:p>
        </w:tc>
        <w:tc>
          <w:tcPr>
            <w:tcW w:w="10710" w:type="dxa"/>
            <w:gridSpan w:val="4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343" w:rsidRPr="006F7343" w:rsidRDefault="006F7343" w:rsidP="006F7343">
            <w:pPr>
              <w:pStyle w:val="BodyTextSG2017"/>
            </w:pPr>
            <w:r w:rsidRPr="006F7343">
              <w:rPr>
                <w:i/>
                <w:iCs/>
              </w:rPr>
              <w:t>Empower all students to excel</w:t>
            </w:r>
          </w:p>
        </w:tc>
      </w:tr>
      <w:tr w:rsidR="006F7343" w:rsidRPr="006F7343" w:rsidTr="006F7343">
        <w:trPr>
          <w:trHeight w:val="584"/>
        </w:trPr>
        <w:tc>
          <w:tcPr>
            <w:tcW w:w="2330" w:type="dxa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343" w:rsidRPr="006F7343" w:rsidRDefault="006F7343" w:rsidP="006F7343">
            <w:pPr>
              <w:pStyle w:val="BodyTextSG2017"/>
            </w:pPr>
            <w:r>
              <w:rPr>
                <w:b/>
                <w:bCs/>
              </w:rPr>
              <w:t xml:space="preserve">Potential </w:t>
            </w:r>
            <w:r w:rsidRPr="006F7343">
              <w:rPr>
                <w:b/>
                <w:bCs/>
              </w:rPr>
              <w:t>Values</w:t>
            </w:r>
          </w:p>
        </w:tc>
        <w:tc>
          <w:tcPr>
            <w:tcW w:w="10710" w:type="dxa"/>
            <w:gridSpan w:val="4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343" w:rsidRDefault="006F7343" w:rsidP="006F734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Acceptance (Humanity, compassion, kindness, peace, tolerance, inclusion diversity)</w:t>
            </w:r>
          </w:p>
          <w:p w:rsidR="006F7343" w:rsidRDefault="006F7343" w:rsidP="006F734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Communication </w:t>
            </w:r>
          </w:p>
          <w:p w:rsidR="006F7343" w:rsidRDefault="006F7343" w:rsidP="006F734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Cooperation/ collaboration/ team work</w:t>
            </w:r>
          </w:p>
          <w:p w:rsidR="006F7343" w:rsidRDefault="006F7343" w:rsidP="006F734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 expectations/ challenge/ excellence/ growth</w:t>
            </w:r>
          </w:p>
          <w:p w:rsidR="006F7343" w:rsidRDefault="006F7343" w:rsidP="006F734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</w:t>
            </w:r>
          </w:p>
          <w:p w:rsidR="006F7343" w:rsidRDefault="006F7343" w:rsidP="006F734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Creativity, Imagination, Arts</w:t>
            </w:r>
          </w:p>
          <w:p w:rsidR="006F7343" w:rsidRDefault="006F7343" w:rsidP="006F734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Positive attitude (joy, fun)</w:t>
            </w:r>
          </w:p>
          <w:p w:rsidR="006F7343" w:rsidRDefault="006F7343" w:rsidP="006F734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Balance</w:t>
            </w:r>
          </w:p>
          <w:p w:rsidR="006F7343" w:rsidRDefault="006F7343" w:rsidP="006F734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Trust, support</w:t>
            </w:r>
          </w:p>
          <w:p w:rsidR="006F7343" w:rsidRDefault="006F7343" w:rsidP="006F734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Honesty, ethics, morality</w:t>
            </w:r>
          </w:p>
          <w:p w:rsidR="006F7343" w:rsidRPr="006F7343" w:rsidRDefault="006F7343" w:rsidP="006F734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Meaningful work</w:t>
            </w:r>
          </w:p>
        </w:tc>
      </w:tr>
      <w:tr w:rsidR="006F7343" w:rsidRPr="006F7343" w:rsidTr="00E268CC">
        <w:trPr>
          <w:trHeight w:val="584"/>
        </w:trPr>
        <w:tc>
          <w:tcPr>
            <w:tcW w:w="2330" w:type="dxa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343" w:rsidRPr="006F7343" w:rsidRDefault="006F7343" w:rsidP="006F7343">
            <w:pPr>
              <w:pStyle w:val="BodyTextSG2017"/>
            </w:pPr>
            <w:r>
              <w:rPr>
                <w:b/>
                <w:bCs/>
              </w:rPr>
              <w:t>Our Pillars of Excellence</w:t>
            </w:r>
          </w:p>
        </w:tc>
        <w:tc>
          <w:tcPr>
            <w:tcW w:w="3579" w:type="dxa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343" w:rsidRPr="006F7343" w:rsidRDefault="00367E89" w:rsidP="006F7343">
            <w:pPr>
              <w:pStyle w:val="BodyTextSG2017"/>
              <w:jc w:val="center"/>
              <w:rPr>
                <w:b/>
              </w:rPr>
            </w:pPr>
            <w:r>
              <w:rPr>
                <w:b/>
              </w:rPr>
              <w:t xml:space="preserve">All </w:t>
            </w:r>
            <w:r w:rsidR="006F7343" w:rsidRPr="006F7343">
              <w:rPr>
                <w:b/>
              </w:rPr>
              <w:t>Students</w:t>
            </w:r>
            <w:r>
              <w:rPr>
                <w:b/>
              </w:rPr>
              <w:t>’ Success</w:t>
            </w:r>
          </w:p>
          <w:p w:rsidR="006F7343" w:rsidRPr="006F7343" w:rsidRDefault="006F7343" w:rsidP="006F7343">
            <w:pPr>
              <w:pStyle w:val="BodyTextSG2017"/>
              <w:jc w:val="center"/>
              <w:rPr>
                <w:b/>
              </w:rPr>
            </w:pPr>
          </w:p>
        </w:tc>
        <w:tc>
          <w:tcPr>
            <w:tcW w:w="2060" w:type="dxa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343" w:rsidRPr="006F7343" w:rsidRDefault="00367E89" w:rsidP="00E268CC">
            <w:pPr>
              <w:pStyle w:val="BodyTextSG2017"/>
              <w:jc w:val="center"/>
              <w:rPr>
                <w:b/>
              </w:rPr>
            </w:pPr>
            <w:r>
              <w:rPr>
                <w:b/>
              </w:rPr>
              <w:t>A Culture of Empowerment</w:t>
            </w:r>
          </w:p>
        </w:tc>
        <w:tc>
          <w:tcPr>
            <w:tcW w:w="2011" w:type="dxa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343" w:rsidRPr="006F7343" w:rsidRDefault="006F7343" w:rsidP="006F7343">
            <w:pPr>
              <w:pStyle w:val="BodyTextSG2017"/>
              <w:jc w:val="center"/>
              <w:rPr>
                <w:b/>
              </w:rPr>
            </w:pPr>
            <w:r w:rsidRPr="006F7343">
              <w:rPr>
                <w:b/>
              </w:rPr>
              <w:t>Collaboration &amp; Community</w:t>
            </w:r>
          </w:p>
        </w:tc>
        <w:tc>
          <w:tcPr>
            <w:tcW w:w="3060" w:type="dxa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343" w:rsidRPr="006F7343" w:rsidRDefault="00367E89" w:rsidP="006F7343">
            <w:pPr>
              <w:pStyle w:val="BodyTextSG2017"/>
              <w:jc w:val="center"/>
              <w:rPr>
                <w:b/>
              </w:rPr>
            </w:pPr>
            <w:r>
              <w:rPr>
                <w:b/>
              </w:rPr>
              <w:t xml:space="preserve">Systems </w:t>
            </w:r>
            <w:r w:rsidR="006F7343" w:rsidRPr="006F7343">
              <w:rPr>
                <w:b/>
              </w:rPr>
              <w:t>&amp; Resources</w:t>
            </w:r>
          </w:p>
        </w:tc>
      </w:tr>
      <w:tr w:rsidR="006F7343" w:rsidRPr="006F7343" w:rsidTr="00E268CC">
        <w:trPr>
          <w:trHeight w:val="2698"/>
        </w:trPr>
        <w:tc>
          <w:tcPr>
            <w:tcW w:w="2330" w:type="dxa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343" w:rsidRPr="006F7343" w:rsidRDefault="00FB7793" w:rsidP="006F7343">
            <w:pPr>
              <w:pStyle w:val="BodyTextSG2017"/>
            </w:pPr>
            <w:r>
              <w:rPr>
                <w:b/>
                <w:bCs/>
              </w:rPr>
              <w:t>Components</w:t>
            </w:r>
          </w:p>
        </w:tc>
        <w:tc>
          <w:tcPr>
            <w:tcW w:w="3579" w:type="dxa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C75" w:rsidRPr="00E268CC" w:rsidRDefault="00FB3C75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Support individual passions and provide opportunities for exploration</w:t>
            </w:r>
          </w:p>
          <w:p w:rsidR="00FB3C75" w:rsidRPr="00E268CC" w:rsidRDefault="00FB3C75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Balance approach (</w:t>
            </w:r>
            <w:proofErr w:type="spellStart"/>
            <w:r w:rsidRPr="00E268CC">
              <w:rPr>
                <w:rFonts w:ascii="Calibri" w:hAnsi="Calibri"/>
              </w:rPr>
              <w:t>soc</w:t>
            </w:r>
            <w:proofErr w:type="spellEnd"/>
            <w:r w:rsidRPr="00E268CC">
              <w:rPr>
                <w:rFonts w:ascii="Calibri" w:hAnsi="Calibri"/>
              </w:rPr>
              <w:t>/emotional - technology-academic-creativity-innovation)</w:t>
            </w:r>
          </w:p>
          <w:p w:rsidR="00FB3C75" w:rsidRPr="00E268CC" w:rsidRDefault="00FB3C75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Failure's okay, "we're not perfect"</w:t>
            </w:r>
          </w:p>
          <w:p w:rsidR="00FB3C75" w:rsidRPr="00E268CC" w:rsidRDefault="00FB3C75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Availability, opportunity, encouragement for choice, self-direction and different pathways</w:t>
            </w:r>
          </w:p>
          <w:p w:rsidR="006F7343" w:rsidRPr="00E268CC" w:rsidRDefault="00FB3C75" w:rsidP="00E268CC">
            <w:pPr>
              <w:pStyle w:val="BodyTextSG2017"/>
              <w:numPr>
                <w:ilvl w:val="0"/>
                <w:numId w:val="2"/>
              </w:numPr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lastRenderedPageBreak/>
              <w:t>Support individual passions and provide opportunities for exploration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All students - not just those going to college, prepared students for college and career, excelling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School/ organizational culture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Citizenship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tabs>
                <w:tab w:val="left" w:pos="1800"/>
                <w:tab w:val="left" w:pos="1980"/>
              </w:tabs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Students are more engaged and empowered as goal-setters and self-advocates and less anxious, dependent, or driven by others’ expectations.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tabs>
                <w:tab w:val="left" w:pos="1800"/>
                <w:tab w:val="left" w:pos="1980"/>
              </w:tabs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Teachers and students have options to select from so that learning is meaningful, aligns to passion, meets individual needs, and ignites love for learning.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tabs>
                <w:tab w:val="left" w:pos="1800"/>
                <w:tab w:val="left" w:pos="1980"/>
              </w:tabs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Students and graduates attain life, social, and academic skills to enable them to excel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tabs>
                <w:tab w:val="left" w:pos="1800"/>
                <w:tab w:val="left" w:pos="1980"/>
              </w:tabs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“Excelling” includes academic and technological skills and being happy, healthy, self-confident, and self-aware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tabs>
                <w:tab w:val="left" w:pos="1800"/>
                <w:tab w:val="left" w:pos="1980"/>
              </w:tabs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 xml:space="preserve">We (schools, families, community) provide a balance of high expectations </w:t>
            </w:r>
            <w:r w:rsidRPr="00E268CC">
              <w:rPr>
                <w:rFonts w:ascii="Calibri" w:hAnsi="Calibri"/>
                <w:sz w:val="24"/>
                <w:szCs w:val="24"/>
              </w:rPr>
              <w:lastRenderedPageBreak/>
              <w:t>and individualized support to students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tabs>
                <w:tab w:val="left" w:pos="1800"/>
                <w:tab w:val="left" w:pos="1980"/>
              </w:tabs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Educational offerings integrate passion and interest to drive students’ love and ownership of learning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tabs>
                <w:tab w:val="left" w:pos="1800"/>
                <w:tab w:val="left" w:pos="1980"/>
              </w:tabs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We respect and support students and graduates to follow various paths (career, technical trades, college, etc.); families are supported to explore many options and students are empowered to decide what future they desire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Project-based learning/ real life/ student driven learning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Enrichment opportunities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 xml:space="preserve">Consistency, support - social emotional, academic, resources. </w:t>
            </w:r>
          </w:p>
          <w:p w:rsidR="00367E89" w:rsidRPr="00E268CC" w:rsidRDefault="00367E89" w:rsidP="00E268CC">
            <w:pPr>
              <w:pStyle w:val="NormalWeb"/>
              <w:spacing w:before="0" w:beforeAutospacing="0" w:after="0" w:afterAutospacing="0"/>
              <w:ind w:left="309"/>
              <w:rPr>
                <w:rFonts w:ascii="Calibri" w:hAnsi="Calibri"/>
              </w:rPr>
            </w:pPr>
          </w:p>
          <w:p w:rsidR="00367E89" w:rsidRPr="00E268CC" w:rsidRDefault="00367E89" w:rsidP="00E268CC">
            <w:pPr>
              <w:pStyle w:val="NormalWeb"/>
              <w:spacing w:before="0" w:beforeAutospacing="0" w:after="0" w:afterAutospacing="0"/>
              <w:ind w:left="309"/>
              <w:rPr>
                <w:rFonts w:ascii="Calibri" w:hAnsi="Calibri"/>
              </w:rPr>
            </w:pPr>
          </w:p>
          <w:p w:rsidR="00367E89" w:rsidRPr="00E268CC" w:rsidRDefault="00367E89" w:rsidP="00E268CC">
            <w:pPr>
              <w:pStyle w:val="BodyTextSG2017"/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C75" w:rsidRPr="00E268CC" w:rsidRDefault="00FB3C75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lastRenderedPageBreak/>
              <w:t>Reduced stress/ anxiety - want happy students. Social emotional learning</w:t>
            </w:r>
          </w:p>
          <w:p w:rsidR="00FB3C75" w:rsidRPr="00E268CC" w:rsidRDefault="00FB3C75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Teachers will see self-directed students with more grit and less stress</w:t>
            </w:r>
          </w:p>
          <w:p w:rsidR="00FB3C75" w:rsidRPr="00E268CC" w:rsidRDefault="00FB3C75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lastRenderedPageBreak/>
              <w:t>Freedom to encourage joy, creativity, and deeper learning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Stress/ healthy environments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 xml:space="preserve">Empowerment - teacher voice. 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 xml:space="preserve">Proactive v. reactive decisions. 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Student centered</w:t>
            </w:r>
          </w:p>
          <w:p w:rsidR="00367E89" w:rsidRPr="00E268CC" w:rsidRDefault="00C60EB3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Support students to learn behaviors and strategies that support their mental, social, and physical health</w:t>
            </w:r>
          </w:p>
          <w:p w:rsidR="00FB3C75" w:rsidRPr="00E268CC" w:rsidRDefault="00FB3C75" w:rsidP="00E268CC">
            <w:pPr>
              <w:pStyle w:val="NormalWeb"/>
              <w:spacing w:before="0" w:beforeAutospacing="0" w:after="0" w:afterAutospacing="0"/>
              <w:ind w:left="309"/>
              <w:rPr>
                <w:rFonts w:ascii="Calibri" w:hAnsi="Calibri"/>
              </w:rPr>
            </w:pPr>
          </w:p>
          <w:p w:rsidR="006F7343" w:rsidRPr="00E268CC" w:rsidRDefault="006F7343" w:rsidP="00E268CC">
            <w:pPr>
              <w:pStyle w:val="BodyTextSG2017"/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C75" w:rsidRPr="00E268CC" w:rsidRDefault="00FB3C75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lastRenderedPageBreak/>
              <w:t>Parents, students and schools are partners in student success</w:t>
            </w:r>
          </w:p>
          <w:p w:rsidR="00FB3C75" w:rsidRPr="00E268CC" w:rsidRDefault="00FB3C75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Highly engaged and trained teachers</w:t>
            </w:r>
          </w:p>
          <w:p w:rsidR="00FB3C75" w:rsidRPr="00E268CC" w:rsidRDefault="00FB3C75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 xml:space="preserve">Teachers feel they have flexibility, </w:t>
            </w:r>
            <w:r w:rsidRPr="00E268CC">
              <w:rPr>
                <w:rFonts w:ascii="Calibri" w:hAnsi="Calibri"/>
              </w:rPr>
              <w:lastRenderedPageBreak/>
              <w:t>empowerment and are trusted</w:t>
            </w:r>
          </w:p>
          <w:p w:rsidR="00C60EB3" w:rsidRPr="00E268CC" w:rsidRDefault="00E268CC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 teacher</w:t>
            </w:r>
            <w:r w:rsidR="00C60EB3" w:rsidRPr="00E268CC">
              <w:rPr>
                <w:rFonts w:ascii="Calibri" w:hAnsi="Calibri"/>
              </w:rPr>
              <w:t>-student interaction - positive relationships.</w:t>
            </w:r>
          </w:p>
          <w:p w:rsidR="00C60EB3" w:rsidRPr="00E268CC" w:rsidRDefault="00C60EB3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Enhance collaboration among different groups and build trust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 xml:space="preserve">Listen to all stakeholders equitably, and demonstrate respect for teacher expertise   </w:t>
            </w:r>
          </w:p>
          <w:p w:rsidR="00C60EB3" w:rsidRPr="00E268CC" w:rsidRDefault="00C60EB3" w:rsidP="00E268CC">
            <w:pPr>
              <w:pStyle w:val="NormalWeb"/>
              <w:spacing w:before="0" w:beforeAutospacing="0" w:after="0" w:afterAutospacing="0"/>
              <w:ind w:left="309"/>
              <w:rPr>
                <w:rFonts w:ascii="Calibri" w:hAnsi="Calibri"/>
              </w:rPr>
            </w:pPr>
          </w:p>
          <w:p w:rsidR="00FB3C75" w:rsidRPr="00E268CC" w:rsidRDefault="00FB3C75" w:rsidP="00E268CC">
            <w:pPr>
              <w:pStyle w:val="NormalWeb"/>
              <w:spacing w:before="0" w:beforeAutospacing="0" w:after="0" w:afterAutospacing="0"/>
              <w:ind w:left="309"/>
              <w:rPr>
                <w:rFonts w:ascii="Calibri" w:hAnsi="Calibri"/>
              </w:rPr>
            </w:pPr>
          </w:p>
          <w:p w:rsidR="006F7343" w:rsidRPr="00E268CC" w:rsidRDefault="006F7343" w:rsidP="00E268CC">
            <w:pPr>
              <w:pStyle w:val="BodyTextSG2017"/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558C"/>
              <w:left w:val="single" w:sz="8" w:space="0" w:color="00558C"/>
              <w:bottom w:val="single" w:sz="8" w:space="0" w:color="00558C"/>
              <w:right w:val="single" w:sz="8" w:space="0" w:color="005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7343" w:rsidRPr="00E268CC" w:rsidRDefault="00E268CC" w:rsidP="00E268CC">
            <w:pPr>
              <w:pStyle w:val="BodyTextSG2017"/>
              <w:numPr>
                <w:ilvl w:val="0"/>
                <w:numId w:val="2"/>
              </w:numPr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F</w:t>
            </w:r>
            <w:r w:rsidR="00FB3C75" w:rsidRPr="00E268CC">
              <w:rPr>
                <w:rFonts w:ascii="Calibri" w:hAnsi="Calibri"/>
                <w:sz w:val="24"/>
                <w:szCs w:val="24"/>
              </w:rPr>
              <w:t>lexible learning environment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Finances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Recognitions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Consistent and clear communication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Consistency cross the board - clusters/ teaching practices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Communication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Celebrate success.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 xml:space="preserve">Communications, 2-way, explain why. </w:t>
            </w:r>
          </w:p>
          <w:p w:rsidR="00367E89" w:rsidRPr="00E268CC" w:rsidRDefault="00367E89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lastRenderedPageBreak/>
              <w:t>New initiatives/ too many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tabs>
                <w:tab w:val="left" w:pos="1800"/>
                <w:tab w:val="left" w:pos="1980"/>
              </w:tabs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Right tools and resources: technology, books, time</w:t>
            </w:r>
          </w:p>
          <w:p w:rsidR="00C60EB3" w:rsidRPr="00E268CC" w:rsidRDefault="00C60EB3" w:rsidP="00E268C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9"/>
              <w:rPr>
                <w:rFonts w:ascii="Calibri" w:hAnsi="Calibri"/>
              </w:rPr>
            </w:pPr>
            <w:r w:rsidRPr="00E268CC">
              <w:rPr>
                <w:rFonts w:ascii="Calibri" w:hAnsi="Calibri"/>
              </w:rPr>
              <w:t>Teachers and administrators collaborate, share decision-making and apply resources to a focused set of priority actions to achieve results.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Increase consistency across grades, teachers, clusters, guidance, communication channels and with regard to field trips, use of technology in classes, reward and recognition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Be consistent across buildings, in program implementation, in where we can find information, in what we say and what we do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 xml:space="preserve">Communicate with WHY, keep it simple, and engage in 2-way communication with </w:t>
            </w:r>
            <w:r w:rsidRPr="00E268CC">
              <w:rPr>
                <w:rFonts w:ascii="Calibri" w:hAnsi="Calibri"/>
                <w:sz w:val="24"/>
                <w:szCs w:val="24"/>
              </w:rPr>
              <w:lastRenderedPageBreak/>
              <w:t>stakeholders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Systematize – take what works well and spread it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Celebrate success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Address poor attendance, poor attitudes, or unwillingness to adopt practices that work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Be decisive, and stick to decisions; conclude the school start time debate</w:t>
            </w:r>
          </w:p>
          <w:p w:rsidR="00C60EB3" w:rsidRPr="00E268CC" w:rsidRDefault="00C60EB3" w:rsidP="00E268CC">
            <w:pPr>
              <w:pStyle w:val="BodyTextSG2017"/>
              <w:numPr>
                <w:ilvl w:val="0"/>
                <w:numId w:val="2"/>
              </w:numPr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Establish and follow procedures for engaging stakeholders, making decisions, implementing change that will best support student success and employee satisfaction</w:t>
            </w:r>
          </w:p>
          <w:p w:rsidR="00367E89" w:rsidRPr="00E268CC" w:rsidRDefault="00E268CC" w:rsidP="00E268CC">
            <w:pPr>
              <w:pStyle w:val="BodyTextSG2017"/>
              <w:numPr>
                <w:ilvl w:val="0"/>
                <w:numId w:val="2"/>
              </w:numPr>
              <w:spacing w:line="240" w:lineRule="auto"/>
              <w:ind w:left="309"/>
              <w:rPr>
                <w:rFonts w:ascii="Calibri" w:hAnsi="Calibri"/>
                <w:sz w:val="24"/>
                <w:szCs w:val="24"/>
              </w:rPr>
            </w:pPr>
            <w:r w:rsidRPr="00E268CC">
              <w:rPr>
                <w:rFonts w:ascii="Calibri" w:hAnsi="Calibri"/>
                <w:sz w:val="24"/>
                <w:szCs w:val="24"/>
              </w:rPr>
              <w:t>Communicate what people need to know, fairly across the system, using methods that are valued and accessible to all</w:t>
            </w:r>
          </w:p>
        </w:tc>
      </w:tr>
    </w:tbl>
    <w:p w:rsidR="00C1636A" w:rsidRPr="00CF03A8" w:rsidRDefault="00C1636A" w:rsidP="00B67AB3">
      <w:pPr>
        <w:pStyle w:val="BodyTextSG2017"/>
      </w:pPr>
    </w:p>
    <w:sectPr w:rsidR="00C1636A" w:rsidRPr="00CF03A8" w:rsidSect="006F7343">
      <w:headerReference w:type="default" r:id="rId11"/>
      <w:footerReference w:type="defaul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75" w:rsidRDefault="00072375" w:rsidP="00C2162C">
      <w:pPr>
        <w:spacing w:line="240" w:lineRule="auto"/>
      </w:pPr>
      <w:r>
        <w:separator/>
      </w:r>
    </w:p>
  </w:endnote>
  <w:endnote w:type="continuationSeparator" w:id="0">
    <w:p w:rsidR="00072375" w:rsidRDefault="00072375" w:rsidP="00C21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D6" w:rsidRPr="00FB3C75" w:rsidRDefault="00FB3C75" w:rsidP="00FB3C75">
    <w:pPr>
      <w:jc w:val="right"/>
      <w:rPr>
        <w:rFonts w:ascii="Calibri" w:hAnsi="Calibri" w:cs="Gotham Book"/>
        <w:position w:val="0"/>
        <w:sz w:val="24"/>
        <w:szCs w:val="24"/>
      </w:rPr>
    </w:pPr>
    <w:r>
      <w:rPr>
        <w:rFonts w:ascii="Calibri" w:hAnsi="Calibri"/>
        <w:sz w:val="24"/>
        <w:szCs w:val="24"/>
      </w:rPr>
      <w:t xml:space="preserve">Draft dated: </w:t>
    </w:r>
    <w:r w:rsidRPr="00FB3C75">
      <w:rPr>
        <w:rFonts w:ascii="Calibri" w:hAnsi="Calibri"/>
        <w:sz w:val="24"/>
        <w:szCs w:val="24"/>
      </w:rPr>
      <w:fldChar w:fldCharType="begin"/>
    </w:r>
    <w:r w:rsidRPr="00FB3C75">
      <w:rPr>
        <w:rFonts w:ascii="Calibri" w:hAnsi="Calibri"/>
        <w:sz w:val="24"/>
        <w:szCs w:val="24"/>
      </w:rPr>
      <w:instrText xml:space="preserve"> DATE \@ "M.d.yyyy" </w:instrText>
    </w:r>
    <w:r w:rsidRPr="00FB3C75">
      <w:rPr>
        <w:rFonts w:ascii="Calibri" w:hAnsi="Calibri"/>
        <w:sz w:val="24"/>
        <w:szCs w:val="24"/>
      </w:rPr>
      <w:fldChar w:fldCharType="separate"/>
    </w:r>
    <w:r w:rsidR="00DC7B61">
      <w:rPr>
        <w:rFonts w:ascii="Calibri" w:hAnsi="Calibri"/>
        <w:noProof/>
        <w:sz w:val="24"/>
        <w:szCs w:val="24"/>
      </w:rPr>
      <w:t>10.30.2017</w:t>
    </w:r>
    <w:r w:rsidRPr="00FB3C75"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75" w:rsidRDefault="00072375" w:rsidP="00C2162C">
      <w:pPr>
        <w:spacing w:line="240" w:lineRule="auto"/>
      </w:pPr>
      <w:r>
        <w:separator/>
      </w:r>
    </w:p>
  </w:footnote>
  <w:footnote w:type="continuationSeparator" w:id="0">
    <w:p w:rsidR="00072375" w:rsidRDefault="00072375" w:rsidP="00C21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2C" w:rsidRDefault="006F7343" w:rsidP="006F7343">
    <w:pPr>
      <w:pStyle w:val="Header"/>
    </w:pPr>
    <w:r>
      <w:rPr>
        <w:noProof/>
      </w:rPr>
      <w:drawing>
        <wp:inline distT="0" distB="0" distL="0" distR="0">
          <wp:extent cx="2224096" cy="341906"/>
          <wp:effectExtent l="0" t="0" r="508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r Ed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748" cy="342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FA2"/>
    <w:multiLevelType w:val="hybridMultilevel"/>
    <w:tmpl w:val="F330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365A"/>
    <w:multiLevelType w:val="hybridMultilevel"/>
    <w:tmpl w:val="BF829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43"/>
    <w:rsid w:val="00046DE2"/>
    <w:rsid w:val="00072375"/>
    <w:rsid w:val="000B6759"/>
    <w:rsid w:val="001C6F6F"/>
    <w:rsid w:val="002253A0"/>
    <w:rsid w:val="00272618"/>
    <w:rsid w:val="003025BE"/>
    <w:rsid w:val="0031126A"/>
    <w:rsid w:val="00336340"/>
    <w:rsid w:val="00367E89"/>
    <w:rsid w:val="003808FF"/>
    <w:rsid w:val="004E269E"/>
    <w:rsid w:val="00520144"/>
    <w:rsid w:val="00553D21"/>
    <w:rsid w:val="006F7343"/>
    <w:rsid w:val="007113F3"/>
    <w:rsid w:val="007F33AD"/>
    <w:rsid w:val="00835D7E"/>
    <w:rsid w:val="008B1874"/>
    <w:rsid w:val="0095101C"/>
    <w:rsid w:val="00996DE6"/>
    <w:rsid w:val="009A1CD1"/>
    <w:rsid w:val="009B6B85"/>
    <w:rsid w:val="00A6036C"/>
    <w:rsid w:val="00B13DE1"/>
    <w:rsid w:val="00B67AB3"/>
    <w:rsid w:val="00B81909"/>
    <w:rsid w:val="00B94E83"/>
    <w:rsid w:val="00BB6CE0"/>
    <w:rsid w:val="00BE55EB"/>
    <w:rsid w:val="00C1636A"/>
    <w:rsid w:val="00C2162C"/>
    <w:rsid w:val="00C60EB3"/>
    <w:rsid w:val="00C810D6"/>
    <w:rsid w:val="00CD7377"/>
    <w:rsid w:val="00CF6A57"/>
    <w:rsid w:val="00D2384E"/>
    <w:rsid w:val="00D85184"/>
    <w:rsid w:val="00DC7B61"/>
    <w:rsid w:val="00E00C73"/>
    <w:rsid w:val="00E268CC"/>
    <w:rsid w:val="00E355F6"/>
    <w:rsid w:val="00EA351D"/>
    <w:rsid w:val="00EA63BE"/>
    <w:rsid w:val="00EC3467"/>
    <w:rsid w:val="00F252F4"/>
    <w:rsid w:val="00F31B79"/>
    <w:rsid w:val="00F51379"/>
    <w:rsid w:val="00FB3C75"/>
    <w:rsid w:val="00FB7793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D8808B-B8F8-4AA6-A7CD-DE9F3D29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6A57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"/>
      <w:position w:val="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2162C"/>
    <w:pPr>
      <w:outlineLvl w:val="1"/>
    </w:pPr>
    <w:rPr>
      <w:b/>
      <w:color w:val="0055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162C"/>
    <w:rPr>
      <w:rFonts w:ascii="Arial" w:eastAsiaTheme="minorEastAsia" w:hAnsi="Arial" w:cs="Arial"/>
      <w:b/>
      <w:color w:val="00558C" w:themeColor="accent1"/>
      <w:position w:val="2"/>
    </w:rPr>
  </w:style>
  <w:style w:type="character" w:styleId="Hyperlink">
    <w:name w:val="Hyperlink"/>
    <w:basedOn w:val="DefaultParagraphFont"/>
    <w:uiPriority w:val="99"/>
    <w:unhideWhenUsed/>
    <w:rsid w:val="00C2162C"/>
    <w:rPr>
      <w:color w:val="00558C" w:themeColor="accent1"/>
      <w:u w:val="single"/>
    </w:rPr>
  </w:style>
  <w:style w:type="character" w:styleId="Strong">
    <w:name w:val="Strong"/>
    <w:basedOn w:val="DefaultParagraphFont"/>
    <w:uiPriority w:val="22"/>
    <w:rsid w:val="00C216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2C"/>
    <w:rPr>
      <w:rFonts w:ascii="Arial" w:eastAsiaTheme="minorEastAsia" w:hAnsi="Arial" w:cs="Arial"/>
      <w:color w:val="808080" w:themeColor="background1" w:themeShade="80"/>
      <w:position w:val="2"/>
    </w:rPr>
  </w:style>
  <w:style w:type="paragraph" w:styleId="Footer">
    <w:name w:val="footer"/>
    <w:basedOn w:val="Normal"/>
    <w:link w:val="FooterChar"/>
    <w:uiPriority w:val="99"/>
    <w:unhideWhenUsed/>
    <w:rsid w:val="00C21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2C"/>
    <w:rPr>
      <w:rFonts w:ascii="Arial" w:eastAsiaTheme="minorEastAsia" w:hAnsi="Arial" w:cs="Arial"/>
      <w:color w:val="808080" w:themeColor="background1" w:themeShade="80"/>
      <w:position w:val="2"/>
    </w:rPr>
  </w:style>
  <w:style w:type="character" w:styleId="SubtleEmphasis">
    <w:name w:val="Subtle Emphasis"/>
    <w:basedOn w:val="DefaultParagraphFont"/>
    <w:uiPriority w:val="19"/>
    <w:rsid w:val="00CF6A57"/>
    <w:rPr>
      <w:i/>
      <w:iCs/>
      <w:color w:val="00558C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DA"/>
    <w:rPr>
      <w:rFonts w:ascii="Segoe UI" w:eastAsiaTheme="minorEastAsia" w:hAnsi="Segoe UI" w:cs="Segoe UI"/>
      <w:position w:val="2"/>
      <w:sz w:val="18"/>
      <w:szCs w:val="18"/>
    </w:rPr>
  </w:style>
  <w:style w:type="paragraph" w:customStyle="1" w:styleId="Style1">
    <w:name w:val="Style1"/>
    <w:basedOn w:val="Normal"/>
    <w:link w:val="Style1Char"/>
    <w:rsid w:val="007113F3"/>
    <w:rPr>
      <w:b/>
      <w:color w:val="00558C"/>
    </w:rPr>
  </w:style>
  <w:style w:type="paragraph" w:customStyle="1" w:styleId="RecipientSenderNameSG2017">
    <w:name w:val="Recipient &amp; Sender Name (SG 2017)"/>
    <w:basedOn w:val="Style1"/>
    <w:link w:val="RecipientSenderNameSG2017Char"/>
    <w:qFormat/>
    <w:rsid w:val="007113F3"/>
  </w:style>
  <w:style w:type="character" w:customStyle="1" w:styleId="Style1Char">
    <w:name w:val="Style1 Char"/>
    <w:basedOn w:val="DefaultParagraphFont"/>
    <w:link w:val="Style1"/>
    <w:rsid w:val="007113F3"/>
    <w:rPr>
      <w:rFonts w:ascii="Arial" w:eastAsiaTheme="minorEastAsia" w:hAnsi="Arial" w:cs="Arial"/>
      <w:b/>
      <w:color w:val="00558C"/>
      <w:position w:val="2"/>
    </w:rPr>
  </w:style>
  <w:style w:type="paragraph" w:customStyle="1" w:styleId="BodyTextSG2017">
    <w:name w:val="Body Text (SG 2017)"/>
    <w:basedOn w:val="Normal"/>
    <w:link w:val="BodyTextSG2017Char"/>
    <w:qFormat/>
    <w:rsid w:val="007113F3"/>
  </w:style>
  <w:style w:type="character" w:customStyle="1" w:styleId="RecipientSenderNameSG2017Char">
    <w:name w:val="Recipient &amp; Sender Name (SG 2017) Char"/>
    <w:basedOn w:val="Style1Char"/>
    <w:link w:val="RecipientSenderNameSG2017"/>
    <w:rsid w:val="007113F3"/>
    <w:rPr>
      <w:rFonts w:ascii="Arial" w:eastAsiaTheme="minorEastAsia" w:hAnsi="Arial" w:cs="Arial"/>
      <w:b/>
      <w:color w:val="00558C"/>
      <w:position w:val="2"/>
    </w:rPr>
  </w:style>
  <w:style w:type="character" w:customStyle="1" w:styleId="BodyTextSG2017Char">
    <w:name w:val="Body Text (SG 2017) Char"/>
    <w:basedOn w:val="DefaultParagraphFont"/>
    <w:link w:val="BodyTextSG2017"/>
    <w:rsid w:val="007113F3"/>
    <w:rPr>
      <w:rFonts w:ascii="Arial" w:eastAsiaTheme="minorEastAsia" w:hAnsi="Arial" w:cs="Arial"/>
      <w:position w:val="2"/>
    </w:rPr>
  </w:style>
  <w:style w:type="character" w:styleId="IntenseReference">
    <w:name w:val="Intense Reference"/>
    <w:basedOn w:val="DefaultParagraphFont"/>
    <w:uiPriority w:val="32"/>
    <w:rsid w:val="00C1636A"/>
    <w:rPr>
      <w:b/>
      <w:bCs/>
      <w:smallCaps/>
      <w:color w:val="00558C" w:themeColor="accent1"/>
      <w:spacing w:val="5"/>
    </w:rPr>
  </w:style>
  <w:style w:type="paragraph" w:styleId="NormalWeb">
    <w:name w:val="Normal (Web)"/>
    <w:basedOn w:val="Normal"/>
    <w:uiPriority w:val="99"/>
    <w:unhideWhenUsed/>
    <w:rsid w:val="006F7343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uderGroup2017_v2">
  <a:themeElements>
    <a:clrScheme name="Studer Group Color Theme">
      <a:dk1>
        <a:srgbClr val="00558C"/>
      </a:dk1>
      <a:lt1>
        <a:sysClr val="window" lastClr="FFFFFF"/>
      </a:lt1>
      <a:dk2>
        <a:srgbClr val="000000"/>
      </a:dk2>
      <a:lt2>
        <a:srgbClr val="69C5F4"/>
      </a:lt2>
      <a:accent1>
        <a:srgbClr val="00558C"/>
      </a:accent1>
      <a:accent2>
        <a:srgbClr val="425563"/>
      </a:accent2>
      <a:accent3>
        <a:srgbClr val="69C5F4"/>
      </a:accent3>
      <a:accent4>
        <a:srgbClr val="77B8AC"/>
      </a:accent4>
      <a:accent5>
        <a:srgbClr val="4B4B4D"/>
      </a:accent5>
      <a:accent6>
        <a:srgbClr val="E8BF41"/>
      </a:accent6>
      <a:hlink>
        <a:srgbClr val="425563"/>
      </a:hlink>
      <a:folHlink>
        <a:srgbClr val="69C5F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mpd="sng"/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27173e9-2ca6-4648-abc7-3f8ce4db9487">Huron digital letterhead</Description0>
    <_dlc_DocId xmlns="e497b1db-a13e-4ee7-9197-b96be736c43f">M4D77RYRKRVK-344-6</_dlc_DocId>
    <_dlc_DocIdUrl xmlns="e497b1db-a13e-4ee7-9197-b96be736c43f">
      <Url>https://omega.huronconsultinggroup.com/brand/_layouts/DocIdRedir.aspx?ID=M4D77RYRKRVK-344-6</Url>
      <Description>M4D77RYRKRVK-344-6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0931ABAA2E347982A904297AB2762" ma:contentTypeVersion="1" ma:contentTypeDescription="Create a new document." ma:contentTypeScope="" ma:versionID="233c370650afabc13701306ccd178615">
  <xsd:schema xmlns:xsd="http://www.w3.org/2001/XMLSchema" xmlns:xs="http://www.w3.org/2001/XMLSchema" xmlns:p="http://schemas.microsoft.com/office/2006/metadata/properties" xmlns:ns2="e497b1db-a13e-4ee7-9197-b96be736c43f" xmlns:ns3="127173e9-2ca6-4648-abc7-3f8ce4db9487" targetNamespace="http://schemas.microsoft.com/office/2006/metadata/properties" ma:root="true" ma:fieldsID="192720ffab98626fa524aa4b14a0042a" ns2:_="" ns3:_="">
    <xsd:import namespace="e497b1db-a13e-4ee7-9197-b96be736c43f"/>
    <xsd:import namespace="127173e9-2ca6-4648-abc7-3f8ce4db94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73e9-2ca6-4648-abc7-3f8ce4db9487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19CD5-0C17-4552-AD02-432036D026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1F59D6-B5D8-411A-970F-9721AE179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6CB11-E849-4AF7-AF94-CF19D58EFE1E}">
  <ds:schemaRefs>
    <ds:schemaRef ds:uri="http://www.w3.org/XML/1998/namespace"/>
    <ds:schemaRef ds:uri="e497b1db-a13e-4ee7-9197-b96be736c43f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27173e9-2ca6-4648-abc7-3f8ce4db9487"/>
  </ds:schemaRefs>
</ds:datastoreItem>
</file>

<file path=customXml/itemProps4.xml><?xml version="1.0" encoding="utf-8"?>
<ds:datastoreItem xmlns:ds="http://schemas.openxmlformats.org/officeDocument/2006/customXml" ds:itemID="{16866F5B-76AC-4C57-8E17-366D5AFF1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b1db-a13e-4ee7-9197-b96be736c43f"/>
    <ds:schemaRef ds:uri="127173e9-2ca6-4648-abc7-3f8ce4db9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Matarazzo, Melissa</dc:creator>
  <cp:keywords/>
  <dc:description/>
  <cp:lastModifiedBy>Miller, Denise</cp:lastModifiedBy>
  <cp:revision>2</cp:revision>
  <cp:lastPrinted>2016-12-16T18:18:00Z</cp:lastPrinted>
  <dcterms:created xsi:type="dcterms:W3CDTF">2017-10-30T20:39:00Z</dcterms:created>
  <dcterms:modified xsi:type="dcterms:W3CDTF">2017-10-30T20:39:00Z</dcterms:modified>
</cp:coreProperties>
</file>